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Garamond" w:cs="Garamond" w:eastAsia="Garamond" w:hAnsi="Garamond"/>
          <w:b w:val="1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b w:val="1"/>
          <w:sz w:val="24"/>
          <w:szCs w:val="24"/>
        </w:rPr>
        <w:drawing>
          <wp:inline distB="0" distT="0" distL="0" distR="0">
            <wp:extent cx="283857" cy="304133"/>
            <wp:effectExtent b="0" l="0" r="0" t="0"/>
            <wp:docPr id="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857" cy="30413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189" w:lineRule="auto"/>
        <w:ind w:left="2" w:firstLine="0"/>
        <w:jc w:val="center"/>
        <w:rPr>
          <w:rFonts w:ascii="Garamond" w:cs="Garamond" w:eastAsia="Garamond" w:hAnsi="Garamond"/>
          <w:b w:val="1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b w:val="1"/>
          <w:sz w:val="24"/>
          <w:szCs w:val="24"/>
          <w:rtl w:val="0"/>
        </w:rPr>
        <w:t xml:space="preserve">ISTITUTO STATALE DI ISTRUZIONE SUPERIORE MAGRINI MARCHETTI</w:t>
      </w:r>
    </w:p>
    <w:p w:rsidR="00000000" w:rsidDel="00000000" w:rsidP="00000000" w:rsidRDefault="00000000" w:rsidRPr="00000000" w14:paraId="00000003">
      <w:pPr>
        <w:spacing w:line="282" w:lineRule="auto"/>
        <w:ind w:left="1467" w:firstLine="0"/>
        <w:jc w:val="center"/>
        <w:rPr>
          <w:rFonts w:ascii="Garamond" w:cs="Garamond" w:eastAsia="Garamond" w:hAnsi="Garamond"/>
          <w:b w:val="1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b w:val="1"/>
          <w:sz w:val="24"/>
          <w:szCs w:val="24"/>
          <w:rtl w:val="0"/>
        </w:rPr>
        <w:t xml:space="preserve">Liceo Scientifico Istituto Tecnico settori Economico e Tecnologico</w:t>
      </w:r>
    </w:p>
    <w:p w:rsidR="00000000" w:rsidDel="00000000" w:rsidP="00000000" w:rsidRDefault="00000000" w:rsidRPr="00000000" w14:paraId="00000004">
      <w:pPr>
        <w:tabs>
          <w:tab w:val="left" w:leader="none" w:pos="5856"/>
          <w:tab w:val="left" w:leader="none" w:pos="8512"/>
        </w:tabs>
        <w:spacing w:line="267" w:lineRule="auto"/>
        <w:ind w:left="12" w:firstLine="0"/>
        <w:jc w:val="center"/>
        <w:rPr>
          <w:rFonts w:ascii="Garamond" w:cs="Garamond" w:eastAsia="Garamond" w:hAnsi="Garamond"/>
          <w:b w:val="1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b w:val="1"/>
          <w:sz w:val="24"/>
          <w:szCs w:val="24"/>
          <w:rtl w:val="0"/>
        </w:rPr>
        <w:t xml:space="preserve">33013 GEMONA DEL FRIULI (UD)  via Praviolai, 18</w:t>
        <w:tab/>
        <w:t xml:space="preserve">tel. 0432/981436-981632</w:t>
        <w:tab/>
        <w:t xml:space="preserve">fax</w:t>
      </w:r>
    </w:p>
    <w:p w:rsidR="00000000" w:rsidDel="00000000" w:rsidP="00000000" w:rsidRDefault="00000000" w:rsidRPr="00000000" w14:paraId="00000005">
      <w:pPr>
        <w:spacing w:line="270" w:lineRule="auto"/>
        <w:ind w:left="11" w:firstLine="0"/>
        <w:jc w:val="center"/>
        <w:rPr>
          <w:rFonts w:ascii="Garamond" w:cs="Garamond" w:eastAsia="Garamond" w:hAnsi="Garamond"/>
          <w:b w:val="1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b w:val="1"/>
          <w:sz w:val="24"/>
          <w:szCs w:val="24"/>
          <w:rtl w:val="0"/>
        </w:rPr>
        <w:t xml:space="preserve">0432/970373</w:t>
      </w:r>
    </w:p>
    <w:p w:rsidR="00000000" w:rsidDel="00000000" w:rsidP="00000000" w:rsidRDefault="00000000" w:rsidRPr="00000000" w14:paraId="00000006">
      <w:pPr>
        <w:tabs>
          <w:tab w:val="left" w:leader="none" w:pos="4032"/>
          <w:tab w:val="left" w:leader="none" w:pos="4439"/>
          <w:tab w:val="left" w:leader="none" w:pos="6876"/>
        </w:tabs>
        <w:spacing w:before="75" w:line="117" w:lineRule="auto"/>
        <w:ind w:left="849" w:right="835" w:firstLine="0"/>
        <w:jc w:val="center"/>
        <w:rPr>
          <w:rFonts w:ascii="Garamond" w:cs="Garamond" w:eastAsia="Garamond" w:hAnsi="Garamond"/>
          <w:b w:val="1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b w:val="1"/>
          <w:sz w:val="24"/>
          <w:szCs w:val="24"/>
          <w:rtl w:val="0"/>
        </w:rPr>
        <w:t xml:space="preserve">codice scuola UDIS01800D</w:t>
        <w:tab/>
        <w:tab/>
        <w:t xml:space="preserve">codice fiscale 94134560302 </w:t>
      </w:r>
      <w:hyperlink r:id="rId8">
        <w:r w:rsidDel="00000000" w:rsidR="00000000" w:rsidRPr="00000000">
          <w:rPr>
            <w:rFonts w:ascii="Garamond" w:cs="Garamond" w:eastAsia="Garamond" w:hAnsi="Garamond"/>
            <w:b w:val="1"/>
            <w:color w:val="0000ff"/>
            <w:sz w:val="24"/>
            <w:szCs w:val="24"/>
            <w:u w:val="single"/>
            <w:rtl w:val="0"/>
          </w:rPr>
          <w:t xml:space="preserve">www.isismagrinimarchetti.i</w:t>
        </w:r>
      </w:hyperlink>
      <w:r w:rsidDel="00000000" w:rsidR="00000000" w:rsidRPr="00000000">
        <w:rPr>
          <w:rFonts w:ascii="Garamond" w:cs="Garamond" w:eastAsia="Garamond" w:hAnsi="Garamond"/>
          <w:b w:val="1"/>
          <w:color w:val="0000ff"/>
          <w:sz w:val="24"/>
          <w:szCs w:val="24"/>
          <w:u w:val="single"/>
          <w:rtl w:val="0"/>
        </w:rPr>
        <w:t xml:space="preserve">t</w:t>
        <w:tab/>
      </w:r>
      <w:hyperlink r:id="rId9">
        <w:r w:rsidDel="00000000" w:rsidR="00000000" w:rsidRPr="00000000">
          <w:rPr>
            <w:rFonts w:ascii="Garamond" w:cs="Garamond" w:eastAsia="Garamond" w:hAnsi="Garamond"/>
            <w:b w:val="1"/>
            <w:color w:val="0000ff"/>
            <w:sz w:val="24"/>
            <w:szCs w:val="24"/>
            <w:u w:val="single"/>
            <w:rtl w:val="0"/>
          </w:rPr>
          <w:t xml:space="preserve">udis01800d@istruzione.i</w:t>
        </w:r>
      </w:hyperlink>
      <w:r w:rsidDel="00000000" w:rsidR="00000000" w:rsidRPr="00000000">
        <w:rPr>
          <w:rFonts w:ascii="Garamond" w:cs="Garamond" w:eastAsia="Garamond" w:hAnsi="Garamond"/>
          <w:b w:val="1"/>
          <w:color w:val="0000ff"/>
          <w:sz w:val="24"/>
          <w:szCs w:val="24"/>
          <w:u w:val="single"/>
          <w:rtl w:val="0"/>
        </w:rPr>
        <w:t xml:space="preserve">t</w:t>
        <w:tab/>
      </w:r>
      <w:hyperlink r:id="rId10">
        <w:r w:rsidDel="00000000" w:rsidR="00000000" w:rsidRPr="00000000">
          <w:rPr>
            <w:rFonts w:ascii="Garamond" w:cs="Garamond" w:eastAsia="Garamond" w:hAnsi="Garamond"/>
            <w:b w:val="1"/>
            <w:color w:val="0000ff"/>
            <w:sz w:val="24"/>
            <w:szCs w:val="24"/>
            <w:u w:val="single"/>
            <w:rtl w:val="0"/>
          </w:rPr>
          <w:t xml:space="preserve">udis01800d@pec.istruzione.it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Garamond" w:cs="Garamond" w:eastAsia="Garamond" w:hAnsi="Garamond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Garamond" w:cs="Garamond" w:eastAsia="Garamond" w:hAnsi="Garamond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Garamond" w:cs="Garamond" w:eastAsia="Garamond" w:hAnsi="Garamond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1" w:line="240" w:lineRule="auto"/>
        <w:rPr>
          <w:rFonts w:ascii="Garamond" w:cs="Garamond" w:eastAsia="Garamond" w:hAnsi="Garamond"/>
          <w:b w:val="1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651" w:lineRule="auto"/>
        <w:ind w:left="138" w:firstLine="0"/>
        <w:jc w:val="center"/>
        <w:rPr>
          <w:rFonts w:ascii="Garamond" w:cs="Garamond" w:eastAsia="Garamond" w:hAnsi="Garamond"/>
          <w:sz w:val="40"/>
          <w:szCs w:val="40"/>
        </w:rPr>
      </w:pPr>
      <w:r w:rsidDel="00000000" w:rsidR="00000000" w:rsidRPr="00000000">
        <w:rPr>
          <w:rFonts w:ascii="Garamond" w:cs="Garamond" w:eastAsia="Garamond" w:hAnsi="Garamond"/>
          <w:sz w:val="40"/>
          <w:szCs w:val="40"/>
          <w:rtl w:val="0"/>
        </w:rPr>
        <w:t xml:space="preserve">D I P A R T I M E N T O</w:t>
      </w:r>
    </w:p>
    <w:p w:rsidR="00000000" w:rsidDel="00000000" w:rsidP="00000000" w:rsidRDefault="00000000" w:rsidRPr="00000000" w14:paraId="0000000C">
      <w:pPr>
        <w:spacing w:line="911" w:lineRule="auto"/>
        <w:ind w:left="203" w:firstLine="0"/>
        <w:jc w:val="center"/>
        <w:rPr>
          <w:rFonts w:ascii="Garamond" w:cs="Garamond" w:eastAsia="Garamond" w:hAnsi="Garamond"/>
          <w:sz w:val="40"/>
          <w:szCs w:val="40"/>
        </w:rPr>
      </w:pPr>
      <w:r w:rsidDel="00000000" w:rsidR="00000000" w:rsidRPr="00000000">
        <w:rPr>
          <w:rFonts w:ascii="Garamond" w:cs="Garamond" w:eastAsia="Garamond" w:hAnsi="Garamond"/>
          <w:sz w:val="40"/>
          <w:szCs w:val="40"/>
          <w:rtl w:val="0"/>
        </w:rPr>
        <w:t xml:space="preserve">GIURIDICO ECONOMICO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Garamond" w:cs="Garamond" w:eastAsia="Garamond" w:hAnsi="Garamond"/>
          <w:color w:val="000000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4" w:line="240" w:lineRule="auto"/>
        <w:rPr>
          <w:rFonts w:ascii="Garamond" w:cs="Garamond" w:eastAsia="Garamond" w:hAnsi="Garamond"/>
          <w:color w:val="000000"/>
          <w:sz w:val="33"/>
          <w:szCs w:val="3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140" w:firstLine="0"/>
        <w:jc w:val="center"/>
        <w:rPr>
          <w:rFonts w:ascii="Garamond" w:cs="Garamond" w:eastAsia="Garamond" w:hAnsi="Garamond"/>
          <w:sz w:val="40"/>
          <w:szCs w:val="40"/>
        </w:rPr>
      </w:pPr>
      <w:r w:rsidDel="00000000" w:rsidR="00000000" w:rsidRPr="00000000">
        <w:rPr>
          <w:rFonts w:ascii="Garamond" w:cs="Garamond" w:eastAsia="Garamond" w:hAnsi="Garamond"/>
          <w:sz w:val="40"/>
          <w:szCs w:val="40"/>
          <w:rtl w:val="0"/>
        </w:rPr>
        <w:t xml:space="preserve">C U R R I C O L O   Q U I N T O  A N N O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Garamond" w:cs="Garamond" w:eastAsia="Garamond" w:hAnsi="Garamond"/>
          <w:color w:val="000000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6" w:line="240" w:lineRule="auto"/>
        <w:rPr>
          <w:rFonts w:ascii="Garamond" w:cs="Garamond" w:eastAsia="Garamond" w:hAnsi="Garamond"/>
          <w:color w:val="000000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400" w:lineRule="auto"/>
        <w:ind w:left="114" w:firstLine="0"/>
        <w:rPr>
          <w:rFonts w:ascii="Garamond" w:cs="Garamond" w:eastAsia="Garamond" w:hAnsi="Garamond"/>
          <w:sz w:val="36"/>
          <w:szCs w:val="36"/>
        </w:rPr>
      </w:pPr>
      <w:r w:rsidDel="00000000" w:rsidR="00000000" w:rsidRPr="00000000">
        <w:rPr>
          <w:rFonts w:ascii="Garamond" w:cs="Garamond" w:eastAsia="Garamond" w:hAnsi="Garamond"/>
          <w:sz w:val="36"/>
          <w:szCs w:val="36"/>
          <w:rtl w:val="0"/>
        </w:rPr>
        <w:t xml:space="preserve">Settore TECNICO: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34"/>
          <w:tab w:val="left" w:leader="none" w:pos="835"/>
        </w:tabs>
        <w:spacing w:after="0" w:line="404" w:lineRule="auto"/>
        <w:ind w:left="834" w:hanging="361"/>
        <w:rPr>
          <w:rFonts w:ascii="Garamond" w:cs="Garamond" w:eastAsia="Garamond" w:hAnsi="Garamond"/>
          <w:color w:val="000000"/>
          <w:sz w:val="36"/>
          <w:szCs w:val="36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36"/>
          <w:szCs w:val="36"/>
          <w:rtl w:val="0"/>
        </w:rPr>
        <w:t xml:space="preserve">indirizzo </w:t>
      </w:r>
      <w:r w:rsidDel="00000000" w:rsidR="00000000" w:rsidRPr="00000000">
        <w:rPr>
          <w:rFonts w:ascii="Garamond" w:cs="Garamond" w:eastAsia="Garamond" w:hAnsi="Garamond"/>
          <w:sz w:val="36"/>
          <w:szCs w:val="36"/>
          <w:rtl w:val="0"/>
        </w:rPr>
        <w:t xml:space="preserve">AMMINISTRAZIONE FINANZA E MARKETING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34"/>
          <w:tab w:val="left" w:leader="none" w:pos="835"/>
        </w:tabs>
        <w:spacing w:after="0" w:line="618" w:lineRule="auto"/>
        <w:ind w:left="834" w:hanging="361"/>
        <w:rPr>
          <w:rFonts w:ascii="Garamond" w:cs="Garamond" w:eastAsia="Garamond" w:hAnsi="Garamond"/>
          <w:color w:val="000000"/>
          <w:sz w:val="36"/>
          <w:szCs w:val="36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36"/>
          <w:szCs w:val="36"/>
          <w:rtl w:val="0"/>
        </w:rPr>
        <w:t xml:space="preserve">articolazione SISTEMI INFORMATIVI AZIENDALI 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34"/>
          <w:tab w:val="left" w:leader="none" w:pos="835"/>
        </w:tabs>
        <w:spacing w:after="0" w:line="618" w:lineRule="auto"/>
        <w:rPr>
          <w:rFonts w:ascii="Garamond" w:cs="Garamond" w:eastAsia="Garamond" w:hAnsi="Garamond"/>
          <w:color w:val="000000"/>
          <w:sz w:val="36"/>
          <w:szCs w:val="36"/>
        </w:rPr>
        <w:sectPr>
          <w:pgSz w:h="16850" w:w="11900" w:orient="portrait"/>
          <w:pgMar w:bottom="280" w:top="980" w:left="560" w:right="66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Garamond" w:cs="Garamond" w:eastAsia="Garamond" w:hAnsi="Garamond"/>
          <w:b w:val="1"/>
          <w:color w:val="00000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b w:val="1"/>
          <w:color w:val="000000"/>
          <w:sz w:val="24"/>
          <w:szCs w:val="24"/>
          <w:rtl w:val="0"/>
        </w:rPr>
        <w:t xml:space="preserve">Premessa</w:t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Garamond" w:cs="Garamond" w:eastAsia="Garamond" w:hAnsi="Garamond"/>
          <w:color w:val="00000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24"/>
          <w:szCs w:val="24"/>
          <w:rtl w:val="0"/>
        </w:rPr>
        <w:t xml:space="preserve">Il diritto e l’economia nel quinto anno  sviluppano le competenze del vivere civile e del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Garamond" w:cs="Garamond" w:eastAsia="Garamond" w:hAnsi="Garamond"/>
          <w:color w:val="00000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24"/>
          <w:szCs w:val="24"/>
          <w:rtl w:val="0"/>
        </w:rPr>
        <w:t xml:space="preserve">rispetto delle regole sia nell’ambito delle comunità di appartenenza che quelle proprie dell’ordinamento</w:t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Garamond" w:cs="Garamond" w:eastAsia="Garamond" w:hAnsi="Garamond"/>
          <w:color w:val="00000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24"/>
          <w:szCs w:val="24"/>
          <w:rtl w:val="0"/>
        </w:rPr>
        <w:t xml:space="preserve">giuridico italiano.</w:t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Garamond" w:cs="Garamond" w:eastAsia="Garamond" w:hAnsi="Garamond"/>
          <w:color w:val="00000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24"/>
          <w:szCs w:val="24"/>
          <w:rtl w:val="0"/>
        </w:rPr>
        <w:t xml:space="preserve">Nel biennio il diritto e l’economia sono parte dell’asse storico-sociale di cui alle competenze da</w:t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Garamond" w:cs="Garamond" w:eastAsia="Garamond" w:hAnsi="Garamond"/>
          <w:color w:val="00000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24"/>
          <w:szCs w:val="24"/>
          <w:rtl w:val="0"/>
        </w:rPr>
        <w:t xml:space="preserve">certificare alla fine del primo biennio. L’asse storico-sociale contribuisce alla comprensione critica della</w:t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Garamond" w:cs="Garamond" w:eastAsia="Garamond" w:hAnsi="Garamond"/>
          <w:color w:val="00000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24"/>
          <w:szCs w:val="24"/>
          <w:rtl w:val="0"/>
        </w:rPr>
        <w:t xml:space="preserve">dimensione culturale dell’evoluzione scientifico-tecnologica e sviluppa il rapporto fra le discipline</w:t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Garamond" w:cs="Garamond" w:eastAsia="Garamond" w:hAnsi="Garamond"/>
          <w:color w:val="00000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24"/>
          <w:szCs w:val="24"/>
          <w:rtl w:val="0"/>
        </w:rPr>
        <w:t xml:space="preserve">tecniche e l’insegnamento della storia.</w:t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Garamond" w:cs="Garamond" w:eastAsia="Garamond" w:hAnsi="Garamond"/>
          <w:color w:val="00000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24"/>
          <w:szCs w:val="24"/>
          <w:rtl w:val="0"/>
        </w:rPr>
        <w:t xml:space="preserve">Nel secondo biennio e nel quinto anno il diritto e l’economia perseguono il raggiungimento dei</w:t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Garamond" w:cs="Garamond" w:eastAsia="Garamond" w:hAnsi="Garamond"/>
          <w:color w:val="00000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24"/>
          <w:szCs w:val="24"/>
          <w:rtl w:val="0"/>
        </w:rPr>
        <w:t xml:space="preserve">seguenti risultati di apprendimento relativi al profilo educativo, culturale e professionale: agire in base</w:t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Garamond" w:cs="Garamond" w:eastAsia="Garamond" w:hAnsi="Garamond"/>
          <w:color w:val="00000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24"/>
          <w:szCs w:val="24"/>
          <w:rtl w:val="0"/>
        </w:rPr>
        <w:t xml:space="preserve">ad un sistema di valori coerenti con i principi della Costituzione, a partire dai quali saper valutare fatti e</w:t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Garamond" w:cs="Garamond" w:eastAsia="Garamond" w:hAnsi="Garamond"/>
          <w:color w:val="00000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24"/>
          <w:szCs w:val="24"/>
          <w:rtl w:val="0"/>
        </w:rPr>
        <w:t xml:space="preserve">ispirare i propri comportamenti personali e sociali; riconoscere la varietà e lo sviluppo storico delle</w:t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Garamond" w:cs="Garamond" w:eastAsia="Garamond" w:hAnsi="Garamond"/>
          <w:color w:val="00000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24"/>
          <w:szCs w:val="24"/>
          <w:rtl w:val="0"/>
        </w:rPr>
        <w:t xml:space="preserve">forme economiche, sociali e istituzionali attraverso le categorie di sintesi fornite dall’economia e dal</w:t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Garamond" w:cs="Garamond" w:eastAsia="Garamond" w:hAnsi="Garamond"/>
          <w:color w:val="00000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24"/>
          <w:szCs w:val="24"/>
          <w:rtl w:val="0"/>
        </w:rPr>
        <w:t xml:space="preserve">diritto; riconoscere l’interdipendenza tra fenomeni economici, sociali, istituzionali, culturali e la loro</w:t>
      </w:r>
    </w:p>
    <w:p w:rsidR="00000000" w:rsidDel="00000000" w:rsidP="00000000" w:rsidRDefault="00000000" w:rsidRPr="00000000" w14:paraId="00000025">
      <w:pPr>
        <w:spacing w:after="0" w:line="240" w:lineRule="auto"/>
        <w:jc w:val="both"/>
        <w:rPr>
          <w:rFonts w:ascii="Garamond" w:cs="Garamond" w:eastAsia="Garamond" w:hAnsi="Garamond"/>
          <w:color w:val="00000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24"/>
          <w:szCs w:val="24"/>
          <w:rtl w:val="0"/>
        </w:rPr>
        <w:t xml:space="preserve">dimensione locale/globale; orientarsi nella normativa pubblicistica, civilistica e fiscale; utilizzare le reti e</w:t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Garamond" w:cs="Garamond" w:eastAsia="Garamond" w:hAnsi="Garamond"/>
          <w:color w:val="00000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color w:val="000000"/>
          <w:sz w:val="24"/>
          <w:szCs w:val="24"/>
          <w:rtl w:val="0"/>
        </w:rPr>
        <w:t xml:space="preserve">gli strumenti informatici nelle attività di studio, ricerca e approfondimento disciplinare.</w:t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Garamond" w:cs="Garamond" w:eastAsia="Garamond" w:hAnsi="Garamond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Garamond" w:cs="Garamond" w:eastAsia="Garamond" w:hAnsi="Garamond"/>
          <w:b w:val="1"/>
        </w:rPr>
      </w:pPr>
      <w:r w:rsidDel="00000000" w:rsidR="00000000" w:rsidRPr="00000000">
        <w:rPr>
          <w:rFonts w:ascii="Garamond" w:cs="Garamond" w:eastAsia="Garamond" w:hAnsi="Garamond"/>
          <w:b w:val="1"/>
          <w:rtl w:val="0"/>
        </w:rPr>
        <w:t xml:space="preserve">DISCIPLINA: ECONOMIA PUBBLICA </w:t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Risultati di apprendimento relativi al profilo educativo, culturale e professionale (quinquennio):</w:t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∙ </w:t>
      </w: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agire in base ad un sistema di valori coerenti con i principi della Costituzione, a partire dai quali saper</w:t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valutare fatti e ispirare i propri comportamenti personali e sociali</w:t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∙ </w:t>
      </w: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riconoscere la varietà e lo sviluppo storico delle forme economiche, sociali e istituzionali attraverso le</w:t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categorie di sintesi fornite dall’economia e dal diritto</w:t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∙ </w:t>
      </w: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riconoscere l’interdipendenza tra fenomeni economici, sociali, istituzionali, culturali e la loro dimensione</w:t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locale/globale</w:t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∙ </w:t>
      </w: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analizzare i problemi scientifici, etici, giuridici e sociali connessi agli strumenti culturali acquisiti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∙ </w:t>
      </w: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Risultati di apprendimento espressi in termini di competenza: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∙ </w:t>
      </w: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riconoscere gli aspetti geografici, ecologici, territoriali dell’ambiente naturale ed antropico, le connessioni</w:t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con le strutture demografiche, economiche, sociali, culturali e le trasformazioni intervenute nel corso del</w:t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tempo</w:t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∙ </w:t>
      </w: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identificare e applicare le metodologie e le tecniche della gestione per progetti</w:t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∙ </w:t>
      </w: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redigere relazioni tecniche e documentare le attività individuali e di gruppo relative a situazioni</w:t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professionali</w:t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∙ </w:t>
      </w: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riconoscere e interpretare:</w:t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− </w:t>
      </w: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le tendenze dei mercati locali, nazionali e globali anche per coglierne le ripercussioni in un dato</w:t>
      </w:r>
    </w:p>
    <w:p w:rsidR="00000000" w:rsidDel="00000000" w:rsidP="00000000" w:rsidRDefault="00000000" w:rsidRPr="00000000" w14:paraId="0000003A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contesto</w:t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− </w:t>
      </w: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i cambiamenti dei sistemi economici nella dimensione diacronica attraverso il confronto fra epoche</w:t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storiche e nella dimensione sincronica attraverso il confronto fra aree geografiche e culture diverse</w:t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∙ </w:t>
      </w: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riconoscere i diversi modelli organizzativi aziendali, documentare le procedure e ricercare soluzioni</w:t>
      </w:r>
    </w:p>
    <w:p w:rsidR="00000000" w:rsidDel="00000000" w:rsidP="00000000" w:rsidRDefault="00000000" w:rsidRPr="00000000" w14:paraId="0000003E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efficaci rispetto a situazioni date</w:t>
      </w:r>
    </w:p>
    <w:p w:rsidR="00000000" w:rsidDel="00000000" w:rsidP="00000000" w:rsidRDefault="00000000" w:rsidRPr="00000000" w14:paraId="0000003F">
      <w:pPr>
        <w:spacing w:after="0" w:line="240" w:lineRule="auto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∙ </w:t>
      </w: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inquadrare l’attività di marketing nel ciclo di vita dell’azienda e realizzare applicazioni con riferimento a specifici contesti e diverse politiche di mercato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CURRICOLO DI ECONOMIA POLITICA </w:t>
      </w:r>
    </w:p>
    <w:p w:rsidR="00000000" w:rsidDel="00000000" w:rsidP="00000000" w:rsidRDefault="00000000" w:rsidRPr="00000000" w14:paraId="00000044">
      <w:pPr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526.0" w:type="dxa"/>
        <w:jc w:val="left"/>
        <w:tblInd w:w="-45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34"/>
        <w:gridCol w:w="1417"/>
        <w:gridCol w:w="1587"/>
        <w:gridCol w:w="1701"/>
        <w:gridCol w:w="3687"/>
        <w:tblGridChange w:id="0">
          <w:tblGrid>
            <w:gridCol w:w="1134"/>
            <w:gridCol w:w="1417"/>
            <w:gridCol w:w="1587"/>
            <w:gridCol w:w="1701"/>
            <w:gridCol w:w="3687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4"/>
                <w:szCs w:val="14"/>
                <w:rtl w:val="0"/>
              </w:rPr>
              <w:t xml:space="preserve">Modulo</w:t>
            </w:r>
          </w:p>
        </w:tc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4"/>
                <w:szCs w:val="14"/>
                <w:rtl w:val="0"/>
              </w:rPr>
              <w:t xml:space="preserve">Prerequisiti</w:t>
            </w:r>
          </w:p>
        </w:tc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4"/>
                <w:szCs w:val="14"/>
                <w:rtl w:val="0"/>
              </w:rPr>
              <w:t xml:space="preserve">Competenze</w:t>
            </w:r>
          </w:p>
        </w:tc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4"/>
                <w:szCs w:val="14"/>
                <w:rtl w:val="0"/>
              </w:rPr>
              <w:t xml:space="preserve">Conoscenze </w:t>
            </w:r>
          </w:p>
        </w:tc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4"/>
                <w:szCs w:val="14"/>
                <w:rtl w:val="0"/>
              </w:rPr>
              <w:t xml:space="preserve">Abilità</w:t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4"/>
                <w:szCs w:val="14"/>
                <w:rtl w:val="0"/>
              </w:rPr>
              <w:t xml:space="preserve">1. Il soggetto pubblico nell’economia</w:t>
            </w:r>
          </w:p>
        </w:tc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Conoscenza dei principi generali </w:t>
            </w:r>
          </w:p>
          <w:p w:rsidR="00000000" w:rsidDel="00000000" w:rsidP="00000000" w:rsidRDefault="00000000" w:rsidRPr="00000000" w14:paraId="0000004C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di micro e macroeconomia</w:t>
            </w:r>
          </w:p>
          <w:p w:rsidR="00000000" w:rsidDel="00000000" w:rsidP="00000000" w:rsidRDefault="00000000" w:rsidRPr="00000000" w14:paraId="0000004D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Conoscenza del linguaggio economico di base </w:t>
            </w:r>
          </w:p>
          <w:p w:rsidR="00000000" w:rsidDel="00000000" w:rsidP="00000000" w:rsidRDefault="00000000" w:rsidRPr="00000000" w14:paraId="0000004F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Conoscenza delle principali fonti della informazione economica</w:t>
            </w:r>
          </w:p>
          <w:p w:rsidR="00000000" w:rsidDel="00000000" w:rsidP="00000000" w:rsidRDefault="00000000" w:rsidRPr="00000000" w14:paraId="00000051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Conoscenza degli strumenti di rappresentazione dei fenomeni economici</w:t>
            </w:r>
          </w:p>
          <w:p w:rsidR="00000000" w:rsidDel="00000000" w:rsidP="00000000" w:rsidRDefault="00000000" w:rsidRPr="00000000" w14:paraId="00000053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Conoscenza degli organi istituzionali degli ordinamenti democratici contemporanei</w:t>
            </w:r>
          </w:p>
        </w:tc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Saper riconoscere e interpretare l’azione del soggetto pubblico nel sistema economico, cogliendone gli obiettivi prefissati</w:t>
            </w:r>
          </w:p>
          <w:p w:rsidR="00000000" w:rsidDel="00000000" w:rsidP="00000000" w:rsidRDefault="00000000" w:rsidRPr="00000000" w14:paraId="00000056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Comprendere le ripercussioni di natura economica, sociale e politica che conseguono alle scelte di politica economica</w:t>
            </w:r>
          </w:p>
          <w:p w:rsidR="00000000" w:rsidDel="00000000" w:rsidP="00000000" w:rsidRDefault="00000000" w:rsidRPr="00000000" w14:paraId="00000058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Comprendere la funzione svolta dal soggetto pubblico a favore delle imprese e dell’economia di mercato.</w:t>
            </w:r>
          </w:p>
        </w:tc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Conoscere il ruolo svolto dal soggetto pubblico nei diversi sistemi economici</w:t>
            </w:r>
          </w:p>
          <w:p w:rsidR="00000000" w:rsidDel="00000000" w:rsidP="00000000" w:rsidRDefault="00000000" w:rsidRPr="00000000" w14:paraId="0000005B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Conoscere le diverse funzioni assegnate alla finanza pubblica</w:t>
            </w:r>
          </w:p>
          <w:p w:rsidR="00000000" w:rsidDel="00000000" w:rsidP="00000000" w:rsidRDefault="00000000" w:rsidRPr="00000000" w14:paraId="0000005D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Conoscere le modalità di intervento del soggetto pubblico nel sistema economico</w:t>
            </w:r>
          </w:p>
          <w:p w:rsidR="00000000" w:rsidDel="00000000" w:rsidP="00000000" w:rsidRDefault="00000000" w:rsidRPr="00000000" w14:paraId="0000005F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Conoscere i diversi soggetti coinvolti nell’attività finanziaria pubblica</w:t>
            </w:r>
          </w:p>
          <w:p w:rsidR="00000000" w:rsidDel="00000000" w:rsidP="00000000" w:rsidRDefault="00000000" w:rsidRPr="00000000" w14:paraId="00000061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Conoscere i diversi tipi di beni pubblici</w:t>
            </w:r>
          </w:p>
          <w:p w:rsidR="00000000" w:rsidDel="00000000" w:rsidP="00000000" w:rsidRDefault="00000000" w:rsidRPr="00000000" w14:paraId="00000065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Conoscere le diverse forme di impresa pubblica</w:t>
            </w:r>
          </w:p>
          <w:p w:rsidR="00000000" w:rsidDel="00000000" w:rsidP="00000000" w:rsidRDefault="00000000" w:rsidRPr="00000000" w14:paraId="00000067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Conoscere i processi di privatizzazione in atto</w:t>
            </w:r>
          </w:p>
          <w:p w:rsidR="00000000" w:rsidDel="00000000" w:rsidP="00000000" w:rsidRDefault="00000000" w:rsidRPr="00000000" w14:paraId="00000069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Conoscere i principali strumenti di regolamentazione pubblica del mercato</w:t>
            </w:r>
          </w:p>
          <w:p w:rsidR="00000000" w:rsidDel="00000000" w:rsidP="00000000" w:rsidRDefault="00000000" w:rsidRPr="00000000" w14:paraId="0000006B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Conoscere i diversi momenti della politica economica</w:t>
            </w:r>
          </w:p>
          <w:p w:rsidR="00000000" w:rsidDel="00000000" w:rsidP="00000000" w:rsidRDefault="00000000" w:rsidRPr="00000000" w14:paraId="0000006E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Conoscere gli strumenti della politica economica </w:t>
            </w:r>
          </w:p>
          <w:p w:rsidR="00000000" w:rsidDel="00000000" w:rsidP="00000000" w:rsidRDefault="00000000" w:rsidRPr="00000000" w14:paraId="00000070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Conoscere gli obiettivi della politica economica</w:t>
            </w:r>
          </w:p>
          <w:p w:rsidR="00000000" w:rsidDel="00000000" w:rsidP="00000000" w:rsidRDefault="00000000" w:rsidRPr="00000000" w14:paraId="00000072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Conoscere l’influenza della UE nella politica economica</w:t>
            </w:r>
          </w:p>
        </w:tc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Saper confrontare il ruolo della finanza pubblica nei diversi modelli teorici e nei differenti sistemi economici</w:t>
            </w:r>
          </w:p>
          <w:p w:rsidR="00000000" w:rsidDel="00000000" w:rsidP="00000000" w:rsidRDefault="00000000" w:rsidRPr="00000000" w14:paraId="00000075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Saper distinguere gli interventi di politica economica in relazione allo scopo desiderato</w:t>
            </w:r>
          </w:p>
          <w:p w:rsidR="00000000" w:rsidDel="00000000" w:rsidP="00000000" w:rsidRDefault="00000000" w:rsidRPr="00000000" w14:paraId="00000076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Saper distinguere i diversi modi di intervento pubblico nell’economia </w:t>
            </w:r>
          </w:p>
          <w:p w:rsidR="00000000" w:rsidDel="00000000" w:rsidP="00000000" w:rsidRDefault="00000000" w:rsidRPr="00000000" w14:paraId="00000077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Saper distinguere i soggetti pubblici economici </w:t>
            </w:r>
          </w:p>
          <w:p w:rsidR="00000000" w:rsidDel="00000000" w:rsidP="00000000" w:rsidRDefault="00000000" w:rsidRPr="00000000" w14:paraId="00000078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Saper confrontare pregi e difetti della presenza pubblica sul mercato</w:t>
            </w:r>
          </w:p>
          <w:p w:rsidR="00000000" w:rsidDel="00000000" w:rsidP="00000000" w:rsidRDefault="00000000" w:rsidRPr="00000000" w14:paraId="0000007B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Saper riconoscere gli interventi pubblici in relazione al favore per il libero mercato</w:t>
            </w:r>
          </w:p>
          <w:p w:rsidR="00000000" w:rsidDel="00000000" w:rsidP="00000000" w:rsidRDefault="00000000" w:rsidRPr="00000000" w14:paraId="0000007C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Saper distinguere i diversi tipi di beni pubblici e le diverse forme di impresa pubblica.</w:t>
            </w:r>
          </w:p>
          <w:p w:rsidR="00000000" w:rsidDel="00000000" w:rsidP="00000000" w:rsidRDefault="00000000" w:rsidRPr="00000000" w14:paraId="0000007D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Saper riconoscere le politiche economiche espansive e restrittive</w:t>
            </w:r>
          </w:p>
          <w:p w:rsidR="00000000" w:rsidDel="00000000" w:rsidP="00000000" w:rsidRDefault="00000000" w:rsidRPr="00000000" w14:paraId="00000080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Saper cogliere gli effetti delle politiche monetarie</w:t>
            </w:r>
          </w:p>
          <w:p w:rsidR="00000000" w:rsidDel="00000000" w:rsidP="00000000" w:rsidRDefault="00000000" w:rsidRPr="00000000" w14:paraId="00000081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e valutarie</w:t>
            </w:r>
          </w:p>
          <w:p w:rsidR="00000000" w:rsidDel="00000000" w:rsidP="00000000" w:rsidRDefault="00000000" w:rsidRPr="00000000" w14:paraId="00000082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Saper riconoscere gli interventi di breve e di lungo periodo</w:t>
            </w:r>
          </w:p>
          <w:p w:rsidR="00000000" w:rsidDel="00000000" w:rsidP="00000000" w:rsidRDefault="00000000" w:rsidRPr="00000000" w14:paraId="00000083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Saper riconoscere gli interventi di contrasto dell’inflazione e della disoccupazione.</w:t>
            </w:r>
          </w:p>
          <w:p w:rsidR="00000000" w:rsidDel="00000000" w:rsidP="00000000" w:rsidRDefault="00000000" w:rsidRPr="00000000" w14:paraId="00000084">
            <w:pPr>
              <w:widowControl w:val="0"/>
              <w:spacing w:after="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Saper riconoscere gli effetti della politica economica nel contesto economico internazionale</w:t>
            </w:r>
          </w:p>
        </w:tc>
      </w:tr>
    </w:tbl>
    <w:p w:rsidR="00000000" w:rsidDel="00000000" w:rsidP="00000000" w:rsidRDefault="00000000" w:rsidRPr="00000000" w14:paraId="0000008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526.0" w:type="dxa"/>
        <w:jc w:val="left"/>
        <w:tblInd w:w="-45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34"/>
        <w:gridCol w:w="1417"/>
        <w:gridCol w:w="1587"/>
        <w:gridCol w:w="1701"/>
        <w:gridCol w:w="3687"/>
        <w:tblGridChange w:id="0">
          <w:tblGrid>
            <w:gridCol w:w="1134"/>
            <w:gridCol w:w="1417"/>
            <w:gridCol w:w="1587"/>
            <w:gridCol w:w="1701"/>
            <w:gridCol w:w="3687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Modulo</w:t>
            </w:r>
          </w:p>
        </w:tc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Prerequisiti</w:t>
            </w:r>
          </w:p>
        </w:tc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Competenze</w:t>
            </w:r>
          </w:p>
        </w:tc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Conoscenze </w:t>
            </w:r>
          </w:p>
        </w:tc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Abilità</w:t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08D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2. La spesa pubblica</w:t>
            </w:r>
          </w:p>
        </w:tc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Conoscenza dei principi generali di micro e macroeconomia</w:t>
            </w:r>
          </w:p>
          <w:p w:rsidR="00000000" w:rsidDel="00000000" w:rsidP="00000000" w:rsidRDefault="00000000" w:rsidRPr="00000000" w14:paraId="0000008F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Conoscenza degli strumenti e degli obiettivi della politica economica</w:t>
            </w:r>
          </w:p>
          <w:p w:rsidR="00000000" w:rsidDel="00000000" w:rsidP="00000000" w:rsidRDefault="00000000" w:rsidRPr="00000000" w14:paraId="00000091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Conoscenza delle autorità di politica economica </w:t>
            </w:r>
          </w:p>
        </w:tc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Saper distinguere i tipi di spesa in relazione a differenti criteri</w:t>
            </w:r>
          </w:p>
          <w:p w:rsidR="00000000" w:rsidDel="00000000" w:rsidP="00000000" w:rsidRDefault="00000000" w:rsidRPr="00000000" w14:paraId="00000094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Cogliere gli effetti di una determinata spesa pubblica a livello economico e sociale</w:t>
            </w:r>
          </w:p>
          <w:p w:rsidR="00000000" w:rsidDel="00000000" w:rsidP="00000000" w:rsidRDefault="00000000" w:rsidRPr="00000000" w14:paraId="00000096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Comprendere le ragioni della crescita continua della spesa pubblica e gli effetti negativi sul sistema economico</w:t>
            </w:r>
          </w:p>
          <w:p w:rsidR="00000000" w:rsidDel="00000000" w:rsidP="00000000" w:rsidRDefault="00000000" w:rsidRPr="00000000" w14:paraId="00000098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Distinguere i vari tipi di spesa sociale in relazione alle tipologie di intervento e alle modalità di finanziamento</w:t>
            </w:r>
          </w:p>
          <w:p w:rsidR="00000000" w:rsidDel="00000000" w:rsidP="00000000" w:rsidRDefault="00000000" w:rsidRPr="00000000" w14:paraId="0000009A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Confrontare e distinguere i differenti sistemi di finanziamento e di erogazione delle prestazioni previdenziali, sanitarie e assistenziali </w:t>
            </w:r>
          </w:p>
          <w:p w:rsidR="00000000" w:rsidDel="00000000" w:rsidP="00000000" w:rsidRDefault="00000000" w:rsidRPr="00000000" w14:paraId="0000009C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i sistemi di misurazione della spesa pubblica</w:t>
            </w:r>
          </w:p>
          <w:p w:rsidR="00000000" w:rsidDel="00000000" w:rsidP="00000000" w:rsidRDefault="00000000" w:rsidRPr="00000000" w14:paraId="0000009E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i criteri di classificazione della spesa pubblica</w:t>
            </w:r>
          </w:p>
          <w:p w:rsidR="00000000" w:rsidDel="00000000" w:rsidP="00000000" w:rsidRDefault="00000000" w:rsidRPr="00000000" w14:paraId="000000A0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l’andamento storico della spesa pubblica</w:t>
            </w:r>
          </w:p>
          <w:p w:rsidR="00000000" w:rsidDel="00000000" w:rsidP="00000000" w:rsidRDefault="00000000" w:rsidRPr="00000000" w14:paraId="000000A2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le cause dell’incremento tendenziale della spesa pubblica e gli effetti negativi per il sistema</w:t>
            </w:r>
          </w:p>
          <w:p w:rsidR="00000000" w:rsidDel="00000000" w:rsidP="00000000" w:rsidRDefault="00000000" w:rsidRPr="00000000" w14:paraId="000000A4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gli effetti economici e sociali delle diverse spese pubbliche </w:t>
            </w:r>
          </w:p>
          <w:p w:rsidR="00000000" w:rsidDel="00000000" w:rsidP="00000000" w:rsidRDefault="00000000" w:rsidRPr="00000000" w14:paraId="000000A6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i caratteri dello stato sociale</w:t>
            </w:r>
          </w:p>
          <w:p w:rsidR="00000000" w:rsidDel="00000000" w:rsidP="00000000" w:rsidRDefault="00000000" w:rsidRPr="00000000" w14:paraId="000000A8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i principali obiettivi della spesa sociale</w:t>
            </w:r>
          </w:p>
          <w:p w:rsidR="00000000" w:rsidDel="00000000" w:rsidP="00000000" w:rsidRDefault="00000000" w:rsidRPr="00000000" w14:paraId="000000AA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i diversi modi di finanziamento della spesa sociale</w:t>
            </w:r>
          </w:p>
          <w:p w:rsidR="00000000" w:rsidDel="00000000" w:rsidP="00000000" w:rsidRDefault="00000000" w:rsidRPr="00000000" w14:paraId="000000AC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le caratteristiche essenziali del sistema previdenziale, assistenziale e sanitario italiano</w:t>
            </w:r>
          </w:p>
          <w:p w:rsidR="00000000" w:rsidDel="00000000" w:rsidP="00000000" w:rsidRDefault="00000000" w:rsidRPr="00000000" w14:paraId="000000AE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Saper riconoscere i vari tipi di spesa in relazione al loro effetto economico e sociale</w:t>
            </w:r>
          </w:p>
          <w:p w:rsidR="00000000" w:rsidDel="00000000" w:rsidP="00000000" w:rsidRDefault="00000000" w:rsidRPr="00000000" w14:paraId="000000B0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Riconoscere le problematiche relative alla misurazione della spesa pubblica</w:t>
            </w:r>
          </w:p>
          <w:p w:rsidR="00000000" w:rsidDel="00000000" w:rsidP="00000000" w:rsidRDefault="00000000" w:rsidRPr="00000000" w14:paraId="000000B2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Comprendere le ragioni della crescita della spesa e della difficoltà di controllarla</w:t>
            </w:r>
          </w:p>
          <w:p w:rsidR="00000000" w:rsidDel="00000000" w:rsidP="00000000" w:rsidRDefault="00000000" w:rsidRPr="00000000" w14:paraId="000000B4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Saper distinguere gli effetti positivi e negativi della politica della spesa pubblica</w:t>
            </w:r>
          </w:p>
          <w:p w:rsidR="00000000" w:rsidDel="00000000" w:rsidP="00000000" w:rsidRDefault="00000000" w:rsidRPr="00000000" w14:paraId="000000B6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Confrontare i diversi sistemi di finanziamento della spesa sociale</w:t>
            </w:r>
          </w:p>
          <w:p w:rsidR="00000000" w:rsidDel="00000000" w:rsidP="00000000" w:rsidRDefault="00000000" w:rsidRPr="00000000" w14:paraId="000000B9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Distinguere i diversi tipi di prestazioni previdenziali</w:t>
            </w:r>
          </w:p>
          <w:p w:rsidR="00000000" w:rsidDel="00000000" w:rsidP="00000000" w:rsidRDefault="00000000" w:rsidRPr="00000000" w14:paraId="000000BB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Comprendere le caratteristiche strutturali e le modalità di finanziamento del sistema sanitario e assistenziale italiano</w:t>
            </w:r>
          </w:p>
          <w:p w:rsidR="00000000" w:rsidDel="00000000" w:rsidP="00000000" w:rsidRDefault="00000000" w:rsidRPr="00000000" w14:paraId="000000BD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243.0" w:type="dxa"/>
        <w:jc w:val="left"/>
        <w:tblInd w:w="-45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34"/>
        <w:gridCol w:w="1417"/>
        <w:gridCol w:w="1587"/>
        <w:gridCol w:w="1701"/>
        <w:gridCol w:w="3404"/>
        <w:tblGridChange w:id="0">
          <w:tblGrid>
            <w:gridCol w:w="1134"/>
            <w:gridCol w:w="1417"/>
            <w:gridCol w:w="1587"/>
            <w:gridCol w:w="1701"/>
            <w:gridCol w:w="3404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Modulo</w:t>
            </w:r>
          </w:p>
        </w:tc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Prerequisiti</w:t>
            </w:r>
          </w:p>
        </w:tc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Competenze</w:t>
            </w:r>
          </w:p>
        </w:tc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Conoscenze </w:t>
            </w:r>
          </w:p>
        </w:tc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Abilità</w:t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3. La politica delle entrate pubbliche  </w:t>
            </w:r>
          </w:p>
        </w:tc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Conoscenza degli strumenti e degli obiettivi della politica economica</w:t>
            </w:r>
          </w:p>
          <w:p w:rsidR="00000000" w:rsidDel="00000000" w:rsidP="00000000" w:rsidRDefault="00000000" w:rsidRPr="00000000" w14:paraId="000000C9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Conoscenza dei principali aggregati della contabilità nazionale </w:t>
            </w:r>
          </w:p>
          <w:p w:rsidR="00000000" w:rsidDel="00000000" w:rsidP="00000000" w:rsidRDefault="00000000" w:rsidRPr="00000000" w14:paraId="000000CB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Conoscenza delle caratteristiche e delle dimensioni della spesa pubblica nazionale</w:t>
            </w:r>
          </w:p>
          <w:p w:rsidR="00000000" w:rsidDel="00000000" w:rsidP="00000000" w:rsidRDefault="00000000" w:rsidRPr="00000000" w14:paraId="000000CD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Saper distinguere i diversi tipi di entrate pubbliche in relazione alle conseguenze economiche e sociali </w:t>
            </w:r>
          </w:p>
          <w:p w:rsidR="00000000" w:rsidDel="00000000" w:rsidP="00000000" w:rsidRDefault="00000000" w:rsidRPr="00000000" w14:paraId="000000CF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Saper cogliere le caratteristiche di ciascun tipo di tributo anche in relazione alle diverse conseguenze economiche e sociali </w:t>
            </w:r>
          </w:p>
          <w:p w:rsidR="00000000" w:rsidDel="00000000" w:rsidP="00000000" w:rsidRDefault="00000000" w:rsidRPr="00000000" w14:paraId="000000D1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Saper riconoscere la rispondenza di ciascun tipo di imposta ai principi giuridici </w:t>
            </w:r>
          </w:p>
          <w:p w:rsidR="00000000" w:rsidDel="00000000" w:rsidP="00000000" w:rsidRDefault="00000000" w:rsidRPr="00000000" w14:paraId="000000D3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Saper riconoscere gli effetti microeconomici dell’imposta </w:t>
            </w:r>
          </w:p>
        </w:tc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0D5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i diversi tipi di entrate pubbliche</w:t>
            </w:r>
          </w:p>
          <w:p w:rsidR="00000000" w:rsidDel="00000000" w:rsidP="00000000" w:rsidRDefault="00000000" w:rsidRPr="00000000" w14:paraId="000000D6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i diversi tipi di tributi</w:t>
            </w:r>
          </w:p>
          <w:p w:rsidR="00000000" w:rsidDel="00000000" w:rsidP="00000000" w:rsidRDefault="00000000" w:rsidRPr="00000000" w14:paraId="000000D8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le modalità di misurazione delle entrate pubbliche</w:t>
            </w:r>
          </w:p>
          <w:p w:rsidR="00000000" w:rsidDel="00000000" w:rsidP="00000000" w:rsidRDefault="00000000" w:rsidRPr="00000000" w14:paraId="000000DA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gli effetti economici dei diversi tipi di entrate pubbliche</w:t>
            </w:r>
          </w:p>
          <w:p w:rsidR="00000000" w:rsidDel="00000000" w:rsidP="00000000" w:rsidRDefault="00000000" w:rsidRPr="00000000" w14:paraId="000000DC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gli elementi dell’obbligazione tributaria</w:t>
            </w:r>
          </w:p>
          <w:p w:rsidR="00000000" w:rsidDel="00000000" w:rsidP="00000000" w:rsidRDefault="00000000" w:rsidRPr="00000000" w14:paraId="000000DF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i criteri di classificazione delle imposte</w:t>
            </w:r>
          </w:p>
          <w:p w:rsidR="00000000" w:rsidDel="00000000" w:rsidP="00000000" w:rsidRDefault="00000000" w:rsidRPr="00000000" w14:paraId="000000E1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i principi giuridici di imposta</w:t>
            </w:r>
          </w:p>
          <w:p w:rsidR="00000000" w:rsidDel="00000000" w:rsidP="00000000" w:rsidRDefault="00000000" w:rsidRPr="00000000" w14:paraId="000000E3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gli effetti microeconomici delle imposte </w:t>
            </w:r>
          </w:p>
          <w:p w:rsidR="00000000" w:rsidDel="00000000" w:rsidP="00000000" w:rsidRDefault="00000000" w:rsidRPr="00000000" w14:paraId="000000E5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Saper distinguere i tipi di entrata pubblica</w:t>
            </w:r>
          </w:p>
          <w:p w:rsidR="00000000" w:rsidDel="00000000" w:rsidP="00000000" w:rsidRDefault="00000000" w:rsidRPr="00000000" w14:paraId="000000E7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Confrontare le diverse caratteristiche delle entrate pubbliche comprendendone le conseguenze di tipo economico e sociale </w:t>
            </w:r>
          </w:p>
          <w:p w:rsidR="00000000" w:rsidDel="00000000" w:rsidP="00000000" w:rsidRDefault="00000000" w:rsidRPr="00000000" w14:paraId="000000E9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Riconoscere per ciascun tipo di imposta il presupposto e gli elementi essenziali</w:t>
            </w:r>
          </w:p>
          <w:p w:rsidR="00000000" w:rsidDel="00000000" w:rsidP="00000000" w:rsidRDefault="00000000" w:rsidRPr="00000000" w14:paraId="000000EC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Confrontare sul piano degli effetti economici e sociali i diversi tipi di imposta</w:t>
            </w:r>
          </w:p>
          <w:p w:rsidR="00000000" w:rsidDel="00000000" w:rsidP="00000000" w:rsidRDefault="00000000" w:rsidRPr="00000000" w14:paraId="000000EE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Evidenziare il significato e la portata dei principi giuridici di imposta</w:t>
            </w:r>
          </w:p>
          <w:p w:rsidR="00000000" w:rsidDel="00000000" w:rsidP="00000000" w:rsidRDefault="00000000" w:rsidRPr="00000000" w14:paraId="000000F0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Saper riconoscere le modalità di determinazione della capacità contributiva</w:t>
            </w:r>
          </w:p>
          <w:p w:rsidR="00000000" w:rsidDel="00000000" w:rsidP="00000000" w:rsidRDefault="00000000" w:rsidRPr="00000000" w14:paraId="000000F2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Riconoscere le conseguenze microeconomiche dell’introduzione dell’imposta</w:t>
            </w:r>
          </w:p>
        </w:tc>
      </w:tr>
    </w:tbl>
    <w:p w:rsidR="00000000" w:rsidDel="00000000" w:rsidP="00000000" w:rsidRDefault="00000000" w:rsidRPr="00000000" w14:paraId="000000F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243.0" w:type="dxa"/>
        <w:jc w:val="left"/>
        <w:tblInd w:w="-45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34"/>
        <w:gridCol w:w="1417"/>
        <w:gridCol w:w="1587"/>
        <w:gridCol w:w="1701"/>
        <w:gridCol w:w="3404"/>
        <w:tblGridChange w:id="0">
          <w:tblGrid>
            <w:gridCol w:w="1134"/>
            <w:gridCol w:w="1417"/>
            <w:gridCol w:w="1587"/>
            <w:gridCol w:w="1701"/>
            <w:gridCol w:w="3404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widowControl w:val="0"/>
              <w:spacing w:after="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Modulo</w:t>
            </w:r>
          </w:p>
        </w:tc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spacing w:after="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Prerequisiti</w:t>
            </w:r>
          </w:p>
        </w:tc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spacing w:after="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Competenze</w:t>
            </w:r>
          </w:p>
        </w:tc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spacing w:after="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Conoscenze </w:t>
            </w:r>
          </w:p>
        </w:tc>
        <w:tc>
          <w:tcPr>
            <w:shd w:fill="eeec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spacing w:after="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Abilità</w:t>
            </w:r>
          </w:p>
        </w:tc>
      </w:tr>
      <w:tr>
        <w:trPr>
          <w:cantSplit w:val="0"/>
          <w:trHeight w:val="2882" w:hRule="atLeast"/>
          <w:tblHeader w:val="0"/>
        </w:trPr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4. Il bilancio delle autorità pubbliche </w:t>
            </w:r>
          </w:p>
          <w:p w:rsidR="00000000" w:rsidDel="00000000" w:rsidP="00000000" w:rsidRDefault="00000000" w:rsidRPr="00000000" w14:paraId="000000FD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widowControl w:val="0"/>
              <w:spacing w:after="57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130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Conoscenza delle ragioni dell’intervento del soggetto pubblico in economia</w:t>
            </w:r>
          </w:p>
          <w:p w:rsidR="00000000" w:rsidDel="00000000" w:rsidP="00000000" w:rsidRDefault="00000000" w:rsidRPr="00000000" w14:paraId="00000131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Conoscenza delle principali istituzioni dello Stato Italiano e dell’Unione europea</w:t>
            </w:r>
          </w:p>
          <w:p w:rsidR="00000000" w:rsidDel="00000000" w:rsidP="00000000" w:rsidRDefault="00000000" w:rsidRPr="00000000" w14:paraId="00000133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Conoscenza dei principali periodi storici .</w:t>
            </w:r>
          </w:p>
          <w:p w:rsidR="00000000" w:rsidDel="00000000" w:rsidP="00000000" w:rsidRDefault="00000000" w:rsidRPr="00000000" w14:paraId="00000135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Conoscenza nelle sue linee essenziali della storia del pensiero economico</w:t>
            </w:r>
          </w:p>
          <w:p w:rsidR="00000000" w:rsidDel="00000000" w:rsidP="00000000" w:rsidRDefault="00000000" w:rsidRPr="00000000" w14:paraId="00000137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138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Saper leggere e analizzare i principali documenti che compongono la “manovra finanziaria”</w:t>
            </w:r>
          </w:p>
          <w:p w:rsidR="00000000" w:rsidDel="00000000" w:rsidP="00000000" w:rsidRDefault="00000000" w:rsidRPr="00000000" w14:paraId="00000139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Saper cogliere i nessi e i collegamenti tra i bilanci elaborati dai diversi livelli di governo</w:t>
            </w:r>
          </w:p>
          <w:p w:rsidR="00000000" w:rsidDel="00000000" w:rsidP="00000000" w:rsidRDefault="00000000" w:rsidRPr="00000000" w14:paraId="0000013B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Individuare le manovre di bilancio ancora possibili che i singoli Stati membri dell’Ue possono eseguire, dopo i limiti introdotti a livello europeo sulla spesa pubblica </w:t>
            </w:r>
          </w:p>
          <w:p w:rsidR="00000000" w:rsidDel="00000000" w:rsidP="00000000" w:rsidRDefault="00000000" w:rsidRPr="00000000" w14:paraId="0000013D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13E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Comprendere le caratteristiche dei bilanci, in base al tempo e al contenuto</w:t>
            </w:r>
          </w:p>
          <w:p w:rsidR="00000000" w:rsidDel="00000000" w:rsidP="00000000" w:rsidRDefault="00000000" w:rsidRPr="00000000" w14:paraId="0000013F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Spiegare le fasi del processo di bilancio</w:t>
            </w:r>
          </w:p>
          <w:p w:rsidR="00000000" w:rsidDel="00000000" w:rsidP="00000000" w:rsidRDefault="00000000" w:rsidRPr="00000000" w14:paraId="00000141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Distinguere tra bilancio a legislazione vigente e bilancio di previsione programmatico</w:t>
            </w:r>
          </w:p>
          <w:p w:rsidR="00000000" w:rsidDel="00000000" w:rsidP="00000000" w:rsidRDefault="00000000" w:rsidRPr="00000000" w14:paraId="00000143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la procedura di formazione, esame, approvazione e gestione del bilancio pubblico</w:t>
            </w:r>
          </w:p>
          <w:p w:rsidR="00000000" w:rsidDel="00000000" w:rsidP="00000000" w:rsidRDefault="00000000" w:rsidRPr="00000000" w14:paraId="00000145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Distinguere tra bilancio decisionale e gestionale</w:t>
            </w:r>
          </w:p>
          <w:p w:rsidR="00000000" w:rsidDel="00000000" w:rsidP="00000000" w:rsidRDefault="00000000" w:rsidRPr="00000000" w14:paraId="00000147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i risultati differenziali, che sintetizzano le informazioni contenute nel bilancio dello Stato</w:t>
            </w:r>
          </w:p>
          <w:p w:rsidR="00000000" w:rsidDel="00000000" w:rsidP="00000000" w:rsidRDefault="00000000" w:rsidRPr="00000000" w14:paraId="00000149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Comprendere in che cosa consiste il controllo interno ed esterno sulla risultanza di bilancio</w:t>
            </w:r>
          </w:p>
          <w:p w:rsidR="00000000" w:rsidDel="00000000" w:rsidP="00000000" w:rsidRDefault="00000000" w:rsidRPr="00000000" w14:paraId="0000014B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Illustrare brevemente le teorie del bilancio</w:t>
            </w:r>
          </w:p>
          <w:p w:rsidR="00000000" w:rsidDel="00000000" w:rsidP="00000000" w:rsidRDefault="00000000" w:rsidRPr="00000000" w14:paraId="0000014D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Comprendere il fenomeno del disavanzo pubblico</w:t>
            </w:r>
          </w:p>
          <w:p w:rsidR="00000000" w:rsidDel="00000000" w:rsidP="00000000" w:rsidRDefault="00000000" w:rsidRPr="00000000" w14:paraId="0000014F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Conoscere la composizione delle entrate straordinarie e in particolare del prestito pubblico</w:t>
            </w:r>
          </w:p>
          <w:p w:rsidR="00000000" w:rsidDel="00000000" w:rsidP="00000000" w:rsidRDefault="00000000" w:rsidRPr="00000000" w14:paraId="00000151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Illustrare le possibili manovre di politica economica, dopo i limiti introdotti a livello europeo</w:t>
            </w:r>
          </w:p>
          <w:p w:rsidR="00000000" w:rsidDel="00000000" w:rsidP="00000000" w:rsidRDefault="00000000" w:rsidRPr="00000000" w14:paraId="00000153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Descrivere il principio di sussidiarietà verticale e orizzontale</w:t>
            </w:r>
          </w:p>
          <w:p w:rsidR="00000000" w:rsidDel="00000000" w:rsidP="00000000" w:rsidRDefault="00000000" w:rsidRPr="00000000" w14:paraId="00000155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Cogliere la differenza tra centralismo e federalismo evidenziando il passaggio dalla finanza locale derivata all’autonomia tributaria degli enti territoriali </w:t>
            </w:r>
          </w:p>
          <w:p w:rsidR="00000000" w:rsidDel="00000000" w:rsidP="00000000" w:rsidRDefault="00000000" w:rsidRPr="00000000" w14:paraId="00000157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Comprendere i contenuti del patto di stabilità interno</w:t>
            </w:r>
          </w:p>
          <w:p w:rsidR="00000000" w:rsidDel="00000000" w:rsidP="00000000" w:rsidRDefault="00000000" w:rsidRPr="00000000" w14:paraId="00000159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Illustrare i principi e la struttura del bilancio dell’UE</w:t>
            </w:r>
          </w:p>
          <w:p w:rsidR="00000000" w:rsidDel="00000000" w:rsidP="00000000" w:rsidRDefault="00000000" w:rsidRPr="00000000" w14:paraId="0000015B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Spiegare le fasi che caratterizzano la procedura di bilancio europeo</w:t>
            </w:r>
          </w:p>
          <w:p w:rsidR="00000000" w:rsidDel="00000000" w:rsidP="00000000" w:rsidRDefault="00000000" w:rsidRPr="00000000" w14:paraId="0000015D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Individuare i tipi di controllo a cui è soggetto il bilancio dell’UE.</w:t>
            </w:r>
          </w:p>
        </w:tc>
        <w:tc>
          <w:tcPr>
            <w:tcMar>
              <w:top w:w="85.0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Saper riconoscere i diversi tipi di bilancio cogliendone gli aspetti critici e le varie problematiche</w:t>
            </w:r>
          </w:p>
          <w:p w:rsidR="00000000" w:rsidDel="00000000" w:rsidP="00000000" w:rsidRDefault="00000000" w:rsidRPr="00000000" w14:paraId="00000160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Dimostrare quali sono da un punto di vista economico le differenze tra il bilancio di previsione di competenza e quello di cassa</w:t>
            </w:r>
          </w:p>
          <w:p w:rsidR="00000000" w:rsidDel="00000000" w:rsidP="00000000" w:rsidRDefault="00000000" w:rsidRPr="00000000" w14:paraId="00000163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Comprendere il ruolo della legge di bilancio </w:t>
            </w:r>
          </w:p>
          <w:p w:rsidR="00000000" w:rsidDel="00000000" w:rsidP="00000000" w:rsidRDefault="00000000" w:rsidRPr="00000000" w14:paraId="00000165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Saper leggere il bilancio dello Stato e commentare i relativi risultati differenziali, evidenziandone eventuali criticità</w:t>
            </w:r>
          </w:p>
          <w:p w:rsidR="00000000" w:rsidDel="00000000" w:rsidP="00000000" w:rsidRDefault="00000000" w:rsidRPr="00000000" w14:paraId="00000168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Saper distinguere i diversi ruoli degli organi coinvolti  nel controllo sulla gestione e sulle risultanze di bilancio </w:t>
            </w:r>
          </w:p>
          <w:p w:rsidR="00000000" w:rsidDel="00000000" w:rsidP="00000000" w:rsidRDefault="00000000" w:rsidRPr="00000000" w14:paraId="0000016A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Confrontare le principali teorie del bilancio </w:t>
            </w:r>
          </w:p>
          <w:p w:rsidR="00000000" w:rsidDel="00000000" w:rsidP="00000000" w:rsidRDefault="00000000" w:rsidRPr="00000000" w14:paraId="0000016C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Individuare i principali interventi per contenere la spesa pubblica</w:t>
            </w:r>
          </w:p>
          <w:p w:rsidR="00000000" w:rsidDel="00000000" w:rsidP="00000000" w:rsidRDefault="00000000" w:rsidRPr="00000000" w14:paraId="0000016D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Essere in  grado di prevedere e calcolare gli effetti sul sistema economico di manovre quantitative e/o qualitative sulla spesa pubblica e sulle entrate </w:t>
            </w:r>
          </w:p>
          <w:p w:rsidR="00000000" w:rsidDel="00000000" w:rsidP="00000000" w:rsidRDefault="00000000" w:rsidRPr="00000000" w14:paraId="0000016F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Riconoscere i pregi e i difetti del federalismo fiscale</w:t>
            </w:r>
          </w:p>
          <w:p w:rsidR="00000000" w:rsidDel="00000000" w:rsidP="00000000" w:rsidRDefault="00000000" w:rsidRPr="00000000" w14:paraId="00000172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Mettere a confronto il bilancio dello Stato con quello degli enti territoriali evidenziando analogie e differenze </w:t>
            </w:r>
          </w:p>
          <w:p w:rsidR="00000000" w:rsidDel="00000000" w:rsidP="00000000" w:rsidRDefault="00000000" w:rsidRPr="00000000" w14:paraId="00000174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Individuare i problemi che nascono dalla mancata autonomia impositiva dell’UE e le prospettive di riforma</w:t>
            </w:r>
          </w:p>
          <w:p w:rsidR="00000000" w:rsidDel="00000000" w:rsidP="00000000" w:rsidRDefault="00000000" w:rsidRPr="00000000" w14:paraId="00000177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Riconoscere il ruolo dei singoli organismi europei nella procedura di bilancio</w:t>
            </w:r>
          </w:p>
          <w:p w:rsidR="00000000" w:rsidDel="00000000" w:rsidP="00000000" w:rsidRDefault="00000000" w:rsidRPr="00000000" w14:paraId="00000179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jc w:val="both"/>
        <w:rPr/>
      </w:pPr>
      <w:r w:rsidDel="00000000" w:rsidR="00000000" w:rsidRPr="00000000">
        <w:rPr>
          <w:rtl w:val="0"/>
        </w:rPr>
      </w:r>
    </w:p>
    <w:sectPr>
      <w:type w:val="nextPage"/>
      <w:pgSz w:h="16850" w:w="11900" w:orient="portrait"/>
      <w:pgMar w:bottom="1134" w:top="1417" w:left="1134" w:right="1134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●"/>
      <w:lvlJc w:val="left"/>
      <w:pPr>
        <w:ind w:left="834" w:hanging="359.99999999999994"/>
      </w:pPr>
      <w:rPr>
        <w:rFonts w:ascii="Noto Sans Symbols" w:cs="Noto Sans Symbols" w:eastAsia="Noto Sans Symbols" w:hAnsi="Noto Sans Symbols"/>
        <w:b w:val="0"/>
        <w:i w:val="0"/>
        <w:sz w:val="24"/>
        <w:szCs w:val="24"/>
      </w:rPr>
    </w:lvl>
    <w:lvl w:ilvl="1">
      <w:start w:val="0"/>
      <w:numFmt w:val="bullet"/>
      <w:lvlText w:val="•"/>
      <w:lvlJc w:val="left"/>
      <w:pPr>
        <w:ind w:left="1823" w:hanging="360"/>
      </w:pPr>
      <w:rPr/>
    </w:lvl>
    <w:lvl w:ilvl="2">
      <w:start w:val="0"/>
      <w:numFmt w:val="bullet"/>
      <w:lvlText w:val="•"/>
      <w:lvlJc w:val="left"/>
      <w:pPr>
        <w:ind w:left="2807" w:hanging="361"/>
      </w:pPr>
      <w:rPr/>
    </w:lvl>
    <w:lvl w:ilvl="3">
      <w:start w:val="0"/>
      <w:numFmt w:val="bullet"/>
      <w:lvlText w:val="•"/>
      <w:lvlJc w:val="left"/>
      <w:pPr>
        <w:ind w:left="3791" w:hanging="361"/>
      </w:pPr>
      <w:rPr/>
    </w:lvl>
    <w:lvl w:ilvl="4">
      <w:start w:val="0"/>
      <w:numFmt w:val="bullet"/>
      <w:lvlText w:val="•"/>
      <w:lvlJc w:val="left"/>
      <w:pPr>
        <w:ind w:left="4775" w:hanging="361"/>
      </w:pPr>
      <w:rPr/>
    </w:lvl>
    <w:lvl w:ilvl="5">
      <w:start w:val="0"/>
      <w:numFmt w:val="bullet"/>
      <w:lvlText w:val="•"/>
      <w:lvlJc w:val="left"/>
      <w:pPr>
        <w:ind w:left="5759" w:hanging="361"/>
      </w:pPr>
      <w:rPr/>
    </w:lvl>
    <w:lvl w:ilvl="6">
      <w:start w:val="0"/>
      <w:numFmt w:val="bullet"/>
      <w:lvlText w:val="•"/>
      <w:lvlJc w:val="left"/>
      <w:pPr>
        <w:ind w:left="6743" w:hanging="361.0000000000009"/>
      </w:pPr>
      <w:rPr/>
    </w:lvl>
    <w:lvl w:ilvl="7">
      <w:start w:val="0"/>
      <w:numFmt w:val="bullet"/>
      <w:lvlText w:val="•"/>
      <w:lvlJc w:val="left"/>
      <w:pPr>
        <w:ind w:left="7727" w:hanging="361"/>
      </w:pPr>
      <w:rPr/>
    </w:lvl>
    <w:lvl w:ilvl="8">
      <w:start w:val="0"/>
      <w:numFmt w:val="bullet"/>
      <w:lvlText w:val="•"/>
      <w:lvlJc w:val="left"/>
      <w:pPr>
        <w:ind w:left="8711" w:hanging="361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Corpotesto">
    <w:name w:val="Body Text"/>
    <w:basedOn w:val="Normale"/>
    <w:link w:val="CorpotestoCarattere"/>
    <w:uiPriority w:val="1"/>
    <w:qFormat w:val="1"/>
    <w:rsid w:val="00166A33"/>
    <w:pPr>
      <w:widowControl w:val="0"/>
      <w:autoSpaceDE w:val="0"/>
      <w:autoSpaceDN w:val="0"/>
      <w:spacing w:after="0" w:line="240" w:lineRule="auto"/>
    </w:pPr>
    <w:rPr>
      <w:rFonts w:ascii="Garamond" w:cs="Garamond" w:eastAsia="Garamond" w:hAnsi="Garamond"/>
      <w:sz w:val="24"/>
      <w:szCs w:val="24"/>
    </w:rPr>
  </w:style>
  <w:style w:type="character" w:styleId="CorpotestoCarattere" w:customStyle="1">
    <w:name w:val="Corpo testo Carattere"/>
    <w:basedOn w:val="Carpredefinitoparagrafo"/>
    <w:link w:val="Corpotesto"/>
    <w:uiPriority w:val="1"/>
    <w:rsid w:val="00166A33"/>
    <w:rPr>
      <w:rFonts w:ascii="Garamond" w:cs="Garamond" w:eastAsia="Garamond" w:hAnsi="Garamond"/>
      <w:sz w:val="24"/>
      <w:szCs w:val="24"/>
    </w:rPr>
  </w:style>
  <w:style w:type="paragraph" w:styleId="Paragrafoelenco">
    <w:name w:val="List Paragraph"/>
    <w:basedOn w:val="Normale"/>
    <w:uiPriority w:val="1"/>
    <w:qFormat w:val="1"/>
    <w:rsid w:val="00166A33"/>
    <w:pPr>
      <w:widowControl w:val="0"/>
      <w:autoSpaceDE w:val="0"/>
      <w:autoSpaceDN w:val="0"/>
      <w:spacing w:after="0" w:line="404" w:lineRule="exact"/>
      <w:ind w:left="834" w:hanging="361"/>
    </w:pPr>
    <w:rPr>
      <w:rFonts w:ascii="Garamond" w:cs="Garamond" w:eastAsia="Garamond" w:hAnsi="Garamond"/>
    </w:rPr>
  </w:style>
  <w:style w:type="table" w:styleId="Grigliatabella">
    <w:name w:val="Table Grid"/>
    <w:basedOn w:val="Tabellanormale"/>
    <w:uiPriority w:val="39"/>
    <w:rsid w:val="00464BB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essunostileparagrafo" w:customStyle="1">
    <w:name w:val="[Nessuno stile paragrafo]"/>
    <w:rsid w:val="00464BB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cs="Times-Roman" w:eastAsia="Times New Roman" w:hAnsi="Times-Roman"/>
      <w:color w:val="000000"/>
      <w:sz w:val="24"/>
      <w:szCs w:val="24"/>
    </w:rPr>
  </w:style>
  <w:style w:type="paragraph" w:styleId="Paragrafobase" w:customStyle="1">
    <w:name w:val="[Paragrafo base]"/>
    <w:basedOn w:val="Nessunostileparagrafo"/>
    <w:uiPriority w:val="99"/>
    <w:rsid w:val="00464BBE"/>
  </w:style>
  <w:style w:type="paragraph" w:styleId="tabtestatineneg02tabellaprogrammazione" w:customStyle="1">
    <w:name w:val="tab_testatine neg (02_tabella_programmazione)"/>
    <w:basedOn w:val="Nessunostileparagrafo"/>
    <w:uiPriority w:val="99"/>
    <w:rsid w:val="00464BBE"/>
    <w:pPr>
      <w:suppressAutoHyphens w:val="1"/>
      <w:spacing w:line="200" w:lineRule="atLeast"/>
      <w:ind w:left="57"/>
      <w:jc w:val="center"/>
    </w:pPr>
    <w:rPr>
      <w:rFonts w:ascii="AkzidenzGroteskBE-Bold" w:cs="AkzidenzGroteskBE-Bold" w:hAnsi="AkzidenzGroteskBE-Bold"/>
      <w:b w:val="1"/>
      <w:bCs w:val="1"/>
      <w:caps w:val="1"/>
      <w:color w:val="ffffff"/>
      <w:sz w:val="18"/>
      <w:szCs w:val="18"/>
    </w:rPr>
  </w:style>
  <w:style w:type="paragraph" w:styleId="tabtitoletti02tabellaprogrammazione" w:customStyle="1">
    <w:name w:val="tab_titoletti (02_tabella_programmazione)"/>
    <w:basedOn w:val="Nessunostileparagrafo"/>
    <w:uiPriority w:val="99"/>
    <w:rsid w:val="00464BBE"/>
    <w:pPr>
      <w:tabs>
        <w:tab w:val="left" w:pos="1701"/>
      </w:tabs>
      <w:suppressAutoHyphens w:val="1"/>
      <w:spacing w:line="200" w:lineRule="atLeast"/>
      <w:ind w:left="57"/>
    </w:pPr>
    <w:rPr>
      <w:rFonts w:ascii="HelveticaNeueLTStd-BdCn" w:cs="HelveticaNeueLTStd-BdCn" w:hAnsi="HelveticaNeueLTStd-BdCn"/>
      <w:b w:val="1"/>
      <w:bCs w:val="1"/>
      <w:sz w:val="18"/>
      <w:szCs w:val="18"/>
    </w:rPr>
  </w:style>
  <w:style w:type="paragraph" w:styleId="tabtestatine02tabellaprogrammazione" w:customStyle="1">
    <w:name w:val="tab_testatine (02_tabella_programmazione)"/>
    <w:basedOn w:val="Nessunostileparagrafo"/>
    <w:uiPriority w:val="99"/>
    <w:rsid w:val="00464BBE"/>
    <w:pPr>
      <w:tabs>
        <w:tab w:val="left" w:pos="1701"/>
      </w:tabs>
      <w:suppressAutoHyphens w:val="1"/>
      <w:spacing w:line="200" w:lineRule="atLeast"/>
      <w:ind w:left="57"/>
    </w:pPr>
    <w:rPr>
      <w:rFonts w:ascii="AkzidenzGroteskBE-Bold" w:cs="AkzidenzGroteskBE-Bold" w:hAnsi="AkzidenzGroteskBE-Bold"/>
      <w:b w:val="1"/>
      <w:bCs w:val="1"/>
      <w:sz w:val="18"/>
      <w:szCs w:val="18"/>
    </w:rPr>
  </w:style>
  <w:style w:type="paragraph" w:styleId="tabunit02tabellaprogrammazione" w:customStyle="1">
    <w:name w:val="tab_unità (02_tabella_programmazione)"/>
    <w:basedOn w:val="Nessunostileparagrafo"/>
    <w:uiPriority w:val="99"/>
    <w:rsid w:val="00464BBE"/>
    <w:pPr>
      <w:suppressAutoHyphens w:val="1"/>
      <w:spacing w:before="200" w:line="200" w:lineRule="atLeast"/>
      <w:ind w:left="57" w:right="57"/>
    </w:pPr>
    <w:rPr>
      <w:rFonts w:ascii="HelveticaNeueLTStd-LtCn" w:cs="HelveticaNeueLTStd-LtCn" w:hAnsi="HelveticaNeueLTStd-LtCn"/>
      <w:sz w:val="18"/>
      <w:szCs w:val="18"/>
    </w:rPr>
  </w:style>
  <w:style w:type="paragraph" w:styleId="tabpuntoelencotesto02tabellaprogrammazione" w:customStyle="1">
    <w:name w:val="tab_punto_elenco_testo (02_tabella_programmazione)"/>
    <w:basedOn w:val="Nessunostileparagrafo"/>
    <w:uiPriority w:val="99"/>
    <w:rsid w:val="00464BBE"/>
    <w:pPr>
      <w:suppressAutoHyphens w:val="1"/>
      <w:spacing w:after="57" w:line="200" w:lineRule="atLeast"/>
      <w:ind w:left="227" w:right="57" w:hanging="170"/>
    </w:pPr>
    <w:rPr>
      <w:rFonts w:ascii="HelveticaNeueLTStd-LtCn" w:cs="HelveticaNeueLTStd-LtCn" w:hAnsi="HelveticaNeueLTStd-LtCn"/>
      <w:sz w:val="18"/>
      <w:szCs w:val="18"/>
    </w:rPr>
  </w:style>
  <w:style w:type="paragraph" w:styleId="tabelencosenzapunto02tabellaprogrammazione" w:customStyle="1">
    <w:name w:val="tab_elenco_senza_punto (02_tabella_programmazione)"/>
    <w:basedOn w:val="Nessunostileparagrafo"/>
    <w:uiPriority w:val="99"/>
    <w:rsid w:val="00464BBE"/>
    <w:pPr>
      <w:suppressAutoHyphens w:val="1"/>
      <w:spacing w:after="57" w:line="200" w:lineRule="atLeast"/>
      <w:ind w:left="170" w:hanging="113"/>
    </w:pPr>
    <w:rPr>
      <w:rFonts w:ascii="HelveticaNeueLTStd-LtCn" w:cs="HelveticaNeueLTStd-LtCn" w:hAnsi="HelveticaNeueLTStd-LtCn"/>
      <w:sz w:val="18"/>
      <w:szCs w:val="18"/>
    </w:rPr>
  </w:style>
  <w:style w:type="character" w:styleId="01glifoelencopallino02tabellaprogrammazione" w:customStyle="1">
    <w:name w:val="01_glifo_elenco_pallino (02_tabella_programmazione)"/>
    <w:uiPriority w:val="99"/>
    <w:rsid w:val="00464BBE"/>
    <w:rPr>
      <w:rFonts w:ascii="HelveticaNeueLTStd-UltLtCn" w:cs="HelveticaNeueLTStd-UltLtCn" w:hAnsi="HelveticaNeueLTStd-UltLtCn"/>
      <w:color w:val="000000"/>
      <w:w w:val="100"/>
      <w:position w:val="0"/>
      <w:sz w:val="18"/>
      <w:szCs w:val="18"/>
      <w:u w:val="none"/>
    </w:rPr>
  </w:style>
  <w:style w:type="character" w:styleId="tabtestocvo02tabellaprogrammazione" w:customStyle="1">
    <w:name w:val="tab_testo_cvo (02_tabella_programmazione)"/>
    <w:uiPriority w:val="99"/>
    <w:rsid w:val="00464BBE"/>
    <w:rPr>
      <w:i w:val="1"/>
      <w:iCs w:val="1"/>
    </w:rPr>
  </w:style>
  <w:style w:type="paragraph" w:styleId="Sottotitolo">
    <w:name w:val="Subtitle"/>
    <w:basedOn w:val="Normale"/>
    <w:next w:val="Normale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table" w:styleId="a2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mailto:udis01800d@pec.istruzione.it" TargetMode="External"/><Relationship Id="rId9" Type="http://schemas.openxmlformats.org/officeDocument/2006/relationships/hyperlink" Target="mailto:udis01800d@istruzione.it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://www.isismagrinimarchetti.it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gyiOZVl25a96UuiNgYHlEv8VFw==">CgMxLjA4AHIhMWQtZEotdjRGTmdnQVQ2TUZqVVloUENJeWVFQ3k4NXpP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2024-08-20T10:04:00Z</dcterms:created>
  <dc:creator>emanuela buttazzoni</dc:creator>
</cp:coreProperties>
</file>